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DEA" w:rsidRPr="002A6DEA" w:rsidRDefault="002A6DEA" w:rsidP="002A6DEA">
      <w:pPr>
        <w:widowControl/>
        <w:shd w:val="clear" w:color="auto" w:fill="FFFFFF"/>
        <w:spacing w:before="100" w:beforeAutospacing="1" w:after="100" w:afterAutospacing="1" w:line="405" w:lineRule="atLeast"/>
        <w:jc w:val="center"/>
        <w:outlineLvl w:val="2"/>
        <w:rPr>
          <w:rFonts w:ascii="宋体" w:eastAsia="宋体" w:hAnsi="宋体" w:cs="Helvetica"/>
          <w:b/>
          <w:bCs/>
          <w:color w:val="212121"/>
          <w:kern w:val="0"/>
          <w:sz w:val="35"/>
          <w:szCs w:val="35"/>
        </w:rPr>
      </w:pPr>
      <w:r w:rsidRPr="002A6DEA">
        <w:rPr>
          <w:rFonts w:ascii="宋体" w:eastAsia="宋体" w:hAnsi="宋体" w:cs="Helvetica" w:hint="eastAsia"/>
          <w:b/>
          <w:bCs/>
          <w:color w:val="212121"/>
          <w:kern w:val="0"/>
          <w:sz w:val="35"/>
          <w:szCs w:val="35"/>
        </w:rPr>
        <w:t>政府采购机票购买常见问题解答</w:t>
      </w:r>
    </w:p>
    <w:p w:rsidR="002A6DEA" w:rsidRPr="002A6DEA" w:rsidRDefault="002A6DEA" w:rsidP="002A6DEA">
      <w:pPr>
        <w:widowControl/>
        <w:shd w:val="clear" w:color="auto" w:fill="FFFFFF"/>
        <w:jc w:val="left"/>
        <w:rPr>
          <w:rFonts w:ascii="宋体" w:eastAsia="宋体" w:hAnsi="宋体" w:cs="Helvetica" w:hint="eastAsia"/>
          <w:color w:val="484848"/>
          <w:kern w:val="0"/>
          <w:sz w:val="18"/>
          <w:szCs w:val="18"/>
        </w:rPr>
      </w:pPr>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1、各省级财政部门在公务机票购买管理政策实施前应做的工作有哪些？</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xml:space="preserve">    在公务机票购买管理政策实施前，各省级财政部门应通知本省公务卡发卡银行对接银联系统改造；同时根据工作需要，协调落实地市县级的机票销售代理机构；各省级财政部门应完整收集所辖全部预算单位信息，并严格按照附件的填报要求，整理成汇总文件，报送至中国民用航空局清算中心。 </w:t>
      </w:r>
      <w:r w:rsidRPr="002A6DEA">
        <w:rPr>
          <w:rFonts w:ascii="宋体" w:eastAsia="宋体" w:hAnsi="宋体" w:cs="Helvetica" w:hint="eastAsia"/>
          <w:color w:val="484848"/>
          <w:kern w:val="0"/>
          <w:szCs w:val="21"/>
        </w:rPr>
        <w:br/>
        <w:t>    附：</w:t>
      </w:r>
      <w:hyperlink r:id="rId6" w:history="1">
        <w:r w:rsidRPr="002A6DEA">
          <w:rPr>
            <w:rFonts w:ascii="宋体" w:eastAsia="宋体" w:hAnsi="宋体" w:cs="Helvetica" w:hint="eastAsia"/>
            <w:color w:val="008DD3"/>
            <w:kern w:val="0"/>
            <w:szCs w:val="21"/>
          </w:rPr>
          <w:t>各省预算单位信息报送说明</w:t>
        </w:r>
      </w:hyperlink>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2、机票销售代理机构如何成为政府采购机票服务商？</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xml:space="preserve">    加入全国机票政府采购项目的机票销售代理机构必须具备以下基本资质： </w:t>
      </w:r>
      <w:r w:rsidRPr="002A6DEA">
        <w:rPr>
          <w:rFonts w:ascii="宋体" w:eastAsia="宋体" w:hAnsi="宋体" w:cs="Helvetica" w:hint="eastAsia"/>
          <w:color w:val="484848"/>
          <w:kern w:val="0"/>
          <w:szCs w:val="21"/>
        </w:rPr>
        <w:br/>
        <w:t xml:space="preserve">    1） 取得工商行政管理机关颁发的企业法人营业执照，经营范围包含航空客运销售代理业务； </w:t>
      </w:r>
      <w:r w:rsidRPr="002A6DEA">
        <w:rPr>
          <w:rFonts w:ascii="宋体" w:eastAsia="宋体" w:hAnsi="宋体" w:cs="Helvetica" w:hint="eastAsia"/>
          <w:color w:val="484848"/>
          <w:kern w:val="0"/>
          <w:szCs w:val="21"/>
        </w:rPr>
        <w:br/>
        <w:t xml:space="preserve">    2） 取得《中国民用航空运输销售代理业务的资格认可证书》和《国际航空运输协会认可资质证书》。 </w:t>
      </w:r>
      <w:r w:rsidRPr="002A6DEA">
        <w:rPr>
          <w:rFonts w:ascii="宋体" w:eastAsia="宋体" w:hAnsi="宋体" w:cs="Helvetica" w:hint="eastAsia"/>
          <w:color w:val="484848"/>
          <w:kern w:val="0"/>
          <w:szCs w:val="21"/>
        </w:rPr>
        <w:br/>
        <w:t>    符合上述基本资质的机票销售代理机构，均可按公务机票服务商服务系统（网址：www.gpticket.net）的规定流程申请加入成为政府采购机票服务商。代理机构也可拨打010-84669065进行咨询。</w:t>
      </w:r>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3、公务机票优惠政策是什么？</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lastRenderedPageBreak/>
        <w:t xml:space="preserve">    购票人应当按照公务活动的实际需要合理选择航班，在行程确定的情况下应当尽可能选择低价机票，而并非要求必须购买最低价机票。 </w:t>
      </w:r>
      <w:r w:rsidRPr="002A6DEA">
        <w:rPr>
          <w:rFonts w:ascii="宋体" w:eastAsia="宋体" w:hAnsi="宋体" w:cs="Helvetica" w:hint="eastAsia"/>
          <w:color w:val="484848"/>
          <w:kern w:val="0"/>
          <w:szCs w:val="21"/>
        </w:rPr>
        <w:br/>
        <w:t xml:space="preserve">    政府采购优惠票价是在市场公布运价基础上实施二次优惠的票价。例如：北京-上海航线普通舱全价票舱位公布运价为1000元，购票人在购买此舱位的票价为1000*0.88，即购票人购买该舱位机票需支付880元；如果同一航班同时开放普通舱六折票舱位，公布票价则为600元，购票人在购买此舱位的票价为600*0.95，即购票人购买该舱位机票需支付570元。上述的公布运价并不包含航空公司向特定渠道定向发布的特价机票，对于此类特价机票，政策上允许购票人购买，但不再享受二次折扣优惠。仍然以上述航班为例，航空公司由于市场原因临时向特定服务商定向发布了300元的特价机票，购票人可以购买，但只能以300元价格成交。 </w:t>
      </w:r>
      <w:r w:rsidRPr="002A6DEA">
        <w:rPr>
          <w:rFonts w:ascii="宋体" w:eastAsia="宋体" w:hAnsi="宋体" w:cs="Helvetica" w:hint="eastAsia"/>
          <w:color w:val="484848"/>
          <w:kern w:val="0"/>
          <w:szCs w:val="21"/>
        </w:rPr>
        <w:br/>
        <w:t xml:space="preserve">    须强调的一点是，个别机票销售机构出于自身特殊的营销策略原因，对航空公司对其发布的公布运价采取低于其成本的变价销售，该类机票则不包含在公务机票购买范围。 </w:t>
      </w:r>
      <w:r w:rsidRPr="002A6DEA">
        <w:rPr>
          <w:rFonts w:ascii="宋体" w:eastAsia="宋体" w:hAnsi="宋体" w:cs="Helvetica" w:hint="eastAsia"/>
          <w:color w:val="484848"/>
          <w:kern w:val="0"/>
          <w:szCs w:val="21"/>
        </w:rPr>
        <w:br/>
        <w:t>    总体上看，公务机票票价绝大部分会低于同等舱位的市场票价，但并非市场上的最低票价。</w:t>
      </w:r>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4、国际航线选择标准是什么？单位外事部门和财务部门如何审批？</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关于国际航线的选择标准，以及需要按照《通知》规定的审批流程和要求填写《乘坐非国内航空公司航班和改变中转地审批表》时，单位外事部门和财务部门如何审批，请参照：</w:t>
      </w:r>
      <w:hyperlink r:id="rId7" w:history="1">
        <w:r w:rsidRPr="002A6DEA">
          <w:rPr>
            <w:rFonts w:ascii="宋体" w:eastAsia="宋体" w:hAnsi="宋体" w:cs="Helvetica" w:hint="eastAsia"/>
            <w:color w:val="008DD3"/>
            <w:kern w:val="0"/>
            <w:szCs w:val="21"/>
          </w:rPr>
          <w:t>国际航线选择标准以及外事部门审批原则</w:t>
        </w:r>
      </w:hyperlink>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5、是否需要注册公务卡信息，购票人如何购买公务机票？</w:t>
      </w:r>
    </w:p>
    <w:p w:rsidR="002A6DEA" w:rsidRPr="002A6DEA" w:rsidRDefault="002A6DEA" w:rsidP="002A6DEA">
      <w:pPr>
        <w:widowControl/>
        <w:shd w:val="clear" w:color="auto" w:fill="FFFFFF"/>
        <w:spacing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lastRenderedPageBreak/>
        <w:t xml:space="preserve">    为简化公务机票购票流程，购票人无需进行公务卡信息注册即可直接购买公务机票。 </w:t>
      </w:r>
      <w:r w:rsidRPr="002A6DEA">
        <w:rPr>
          <w:rFonts w:ascii="宋体" w:eastAsia="宋体" w:hAnsi="宋体" w:cs="Helvetica" w:hint="eastAsia"/>
          <w:color w:val="484848"/>
          <w:kern w:val="0"/>
          <w:szCs w:val="21"/>
        </w:rPr>
        <w:br/>
        <w:t>    网站恢复购票功能后，中央预算单位人员可选择以下三种渠道当中的任意一种渠道购买公务机票：</w:t>
      </w:r>
    </w:p>
    <w:tbl>
      <w:tblPr>
        <w:tblW w:w="4803" w:type="pct"/>
        <w:jc w:val="center"/>
        <w:tblBorders>
          <w:top w:val="outset" w:sz="6" w:space="0" w:color="0085CE"/>
          <w:left w:val="outset" w:sz="6" w:space="0" w:color="0085CE"/>
          <w:bottom w:val="outset" w:sz="6" w:space="0" w:color="0085CE"/>
          <w:right w:val="outset" w:sz="6" w:space="0" w:color="0085CE"/>
        </w:tblBorders>
        <w:tblCellMar>
          <w:top w:w="15" w:type="dxa"/>
          <w:left w:w="15" w:type="dxa"/>
          <w:bottom w:w="15" w:type="dxa"/>
          <w:right w:w="15" w:type="dxa"/>
        </w:tblCellMar>
        <w:tblLook w:val="04A0"/>
      </w:tblPr>
      <w:tblGrid>
        <w:gridCol w:w="588"/>
        <w:gridCol w:w="3051"/>
        <w:gridCol w:w="2231"/>
        <w:gridCol w:w="2138"/>
      </w:tblGrid>
      <w:tr w:rsidR="002A6DEA" w:rsidRPr="002A6DEA" w:rsidTr="002A6DEA">
        <w:trPr>
          <w:trHeight w:val="1474"/>
          <w:jc w:val="center"/>
        </w:trPr>
        <w:tc>
          <w:tcPr>
            <w:tcW w:w="0" w:type="auto"/>
            <w:tcBorders>
              <w:top w:val="single" w:sz="6" w:space="0" w:color="0085CE"/>
              <w:left w:val="single" w:sz="6" w:space="0" w:color="0085CE"/>
              <w:bottom w:val="single" w:sz="6" w:space="0" w:color="0085CE"/>
              <w:right w:val="single" w:sz="6" w:space="0" w:color="0085CE"/>
            </w:tcBorders>
            <w:shd w:val="clear" w:color="auto" w:fill="0085CE"/>
            <w:vAlign w:val="center"/>
            <w:hideMark/>
          </w:tcPr>
          <w:p w:rsidR="002A6DEA" w:rsidRPr="002A6DEA" w:rsidRDefault="002A6DEA" w:rsidP="002A6DEA">
            <w:pPr>
              <w:widowControl/>
              <w:spacing w:line="600" w:lineRule="auto"/>
              <w:jc w:val="center"/>
              <w:rPr>
                <w:rFonts w:ascii="微软雅黑" w:eastAsia="微软雅黑" w:hAnsi="微软雅黑" w:cs="Helvetica"/>
                <w:b/>
                <w:bCs/>
                <w:color w:val="FFFFFF"/>
                <w:kern w:val="0"/>
                <w:sz w:val="24"/>
                <w:szCs w:val="24"/>
              </w:rPr>
            </w:pPr>
          </w:p>
        </w:tc>
        <w:tc>
          <w:tcPr>
            <w:tcW w:w="1905" w:type="pct"/>
            <w:tcBorders>
              <w:top w:val="single" w:sz="6" w:space="0" w:color="0085CE"/>
              <w:left w:val="single" w:sz="6" w:space="0" w:color="0085CE"/>
              <w:bottom w:val="single" w:sz="6" w:space="0" w:color="0085CE"/>
              <w:right w:val="single" w:sz="6" w:space="0" w:color="0085CE"/>
            </w:tcBorders>
            <w:shd w:val="clear" w:color="auto" w:fill="0085CE"/>
            <w:vAlign w:val="center"/>
            <w:hideMark/>
          </w:tcPr>
          <w:p w:rsidR="002A6DEA" w:rsidRPr="002A6DEA" w:rsidRDefault="002A6DEA" w:rsidP="002A6DEA">
            <w:pPr>
              <w:widowControl/>
              <w:spacing w:line="600" w:lineRule="auto"/>
              <w:jc w:val="center"/>
              <w:rPr>
                <w:rFonts w:ascii="微软雅黑" w:eastAsia="微软雅黑" w:hAnsi="微软雅黑" w:cs="Helvetica"/>
                <w:b/>
                <w:bCs/>
                <w:color w:val="FFFFFF"/>
                <w:kern w:val="0"/>
                <w:sz w:val="24"/>
                <w:szCs w:val="24"/>
              </w:rPr>
            </w:pPr>
            <w:r w:rsidRPr="002A6DEA">
              <w:rPr>
                <w:rFonts w:ascii="微软雅黑" w:eastAsia="微软雅黑" w:hAnsi="微软雅黑" w:cs="Helvetica" w:hint="eastAsia"/>
                <w:b/>
                <w:bCs/>
                <w:color w:val="FFFFFF"/>
                <w:kern w:val="0"/>
                <w:sz w:val="24"/>
                <w:szCs w:val="24"/>
              </w:rPr>
              <w:t>网站渠道</w:t>
            </w:r>
          </w:p>
        </w:tc>
        <w:tc>
          <w:tcPr>
            <w:tcW w:w="1393" w:type="pct"/>
            <w:tcBorders>
              <w:top w:val="single" w:sz="6" w:space="0" w:color="0085CE"/>
              <w:left w:val="single" w:sz="6" w:space="0" w:color="0085CE"/>
              <w:bottom w:val="single" w:sz="6" w:space="0" w:color="0085CE"/>
              <w:right w:val="single" w:sz="6" w:space="0" w:color="0085CE"/>
            </w:tcBorders>
            <w:shd w:val="clear" w:color="auto" w:fill="0085CE"/>
            <w:vAlign w:val="center"/>
            <w:hideMark/>
          </w:tcPr>
          <w:p w:rsidR="002A6DEA" w:rsidRPr="002A6DEA" w:rsidRDefault="002A6DEA" w:rsidP="002A6DEA">
            <w:pPr>
              <w:widowControl/>
              <w:spacing w:line="600" w:lineRule="auto"/>
              <w:jc w:val="center"/>
              <w:rPr>
                <w:rFonts w:ascii="微软雅黑" w:eastAsia="微软雅黑" w:hAnsi="微软雅黑" w:cs="Helvetica"/>
                <w:b/>
                <w:bCs/>
                <w:color w:val="FFFFFF"/>
                <w:kern w:val="0"/>
                <w:sz w:val="24"/>
                <w:szCs w:val="24"/>
              </w:rPr>
            </w:pPr>
            <w:r w:rsidRPr="002A6DEA">
              <w:rPr>
                <w:rFonts w:ascii="微软雅黑" w:eastAsia="微软雅黑" w:hAnsi="微软雅黑" w:cs="Helvetica" w:hint="eastAsia"/>
                <w:b/>
                <w:bCs/>
                <w:color w:val="FFFFFF"/>
                <w:kern w:val="0"/>
                <w:sz w:val="24"/>
                <w:szCs w:val="24"/>
              </w:rPr>
              <w:t>航空公司直销渠道</w:t>
            </w:r>
          </w:p>
        </w:tc>
        <w:tc>
          <w:tcPr>
            <w:tcW w:w="1335" w:type="pct"/>
            <w:tcBorders>
              <w:top w:val="single" w:sz="6" w:space="0" w:color="0085CE"/>
              <w:left w:val="single" w:sz="6" w:space="0" w:color="0085CE"/>
              <w:bottom w:val="single" w:sz="6" w:space="0" w:color="0085CE"/>
              <w:right w:val="single" w:sz="6" w:space="0" w:color="0085CE"/>
            </w:tcBorders>
            <w:shd w:val="clear" w:color="auto" w:fill="0085CE"/>
            <w:vAlign w:val="center"/>
            <w:hideMark/>
          </w:tcPr>
          <w:p w:rsidR="002A6DEA" w:rsidRPr="002A6DEA" w:rsidRDefault="002A6DEA" w:rsidP="002A6DEA">
            <w:pPr>
              <w:widowControl/>
              <w:spacing w:line="600" w:lineRule="auto"/>
              <w:jc w:val="center"/>
              <w:rPr>
                <w:rFonts w:ascii="微软雅黑" w:eastAsia="微软雅黑" w:hAnsi="微软雅黑" w:cs="Helvetica"/>
                <w:b/>
                <w:bCs/>
                <w:color w:val="FFFFFF"/>
                <w:kern w:val="0"/>
                <w:sz w:val="24"/>
                <w:szCs w:val="24"/>
              </w:rPr>
            </w:pPr>
            <w:r w:rsidRPr="002A6DEA">
              <w:rPr>
                <w:rFonts w:ascii="微软雅黑" w:eastAsia="微软雅黑" w:hAnsi="微软雅黑" w:cs="Helvetica" w:hint="eastAsia"/>
                <w:b/>
                <w:bCs/>
                <w:color w:val="FFFFFF"/>
                <w:kern w:val="0"/>
                <w:sz w:val="24"/>
                <w:szCs w:val="24"/>
              </w:rPr>
              <w:t>代理机构分销渠道</w:t>
            </w:r>
          </w:p>
        </w:tc>
      </w:tr>
      <w:tr w:rsidR="002A6DEA" w:rsidRPr="002A6DEA" w:rsidTr="002A6DEA">
        <w:trPr>
          <w:trHeight w:val="2948"/>
          <w:jc w:val="center"/>
        </w:trPr>
        <w:tc>
          <w:tcPr>
            <w:tcW w:w="367" w:type="pct"/>
            <w:tcBorders>
              <w:top w:val="single" w:sz="6" w:space="0" w:color="0085CE"/>
              <w:left w:val="single" w:sz="6" w:space="0" w:color="0085CE"/>
              <w:bottom w:val="single" w:sz="6" w:space="0" w:color="0085CE"/>
              <w:right w:val="single" w:sz="6" w:space="0" w:color="0085CE"/>
            </w:tcBorders>
            <w:vAlign w:val="center"/>
            <w:hideMark/>
          </w:tcPr>
          <w:p w:rsidR="002A6DEA" w:rsidRPr="002A6DEA" w:rsidRDefault="002A6DEA" w:rsidP="002A6DEA">
            <w:pPr>
              <w:widowControl/>
              <w:jc w:val="center"/>
              <w:rPr>
                <w:rFonts w:ascii="微软雅黑" w:eastAsia="微软雅黑" w:hAnsi="微软雅黑" w:cs="Helvetica"/>
                <w:b/>
                <w:bCs/>
                <w:color w:val="404040"/>
                <w:kern w:val="0"/>
                <w:szCs w:val="21"/>
              </w:rPr>
            </w:pPr>
            <w:r w:rsidRPr="002A6DEA">
              <w:rPr>
                <w:rFonts w:ascii="微软雅黑" w:eastAsia="微软雅黑" w:hAnsi="微软雅黑" w:cs="Helvetica" w:hint="eastAsia"/>
                <w:b/>
                <w:bCs/>
                <w:color w:val="404040"/>
                <w:kern w:val="0"/>
                <w:szCs w:val="21"/>
              </w:rPr>
              <w:t>购票说明</w:t>
            </w:r>
          </w:p>
        </w:tc>
        <w:tc>
          <w:tcPr>
            <w:tcW w:w="1905" w:type="pct"/>
            <w:tcBorders>
              <w:top w:val="single" w:sz="6" w:space="0" w:color="0085CE"/>
              <w:left w:val="single" w:sz="6" w:space="0" w:color="0085CE"/>
              <w:bottom w:val="single" w:sz="6" w:space="0" w:color="0085CE"/>
              <w:right w:val="single" w:sz="6" w:space="0" w:color="0085CE"/>
            </w:tcBorders>
            <w:vAlign w:val="center"/>
            <w:hideMark/>
          </w:tcPr>
          <w:p w:rsidR="002A6DEA" w:rsidRPr="002A6DEA" w:rsidRDefault="002A6DEA" w:rsidP="002A6DEA">
            <w:pPr>
              <w:widowControl/>
              <w:jc w:val="center"/>
              <w:rPr>
                <w:rFonts w:ascii="微软雅黑" w:eastAsia="微软雅黑" w:hAnsi="微软雅黑" w:cs="Helvetica"/>
                <w:color w:val="404040"/>
                <w:kern w:val="0"/>
                <w:szCs w:val="21"/>
              </w:rPr>
            </w:pPr>
            <w:r w:rsidRPr="002A6DEA">
              <w:rPr>
                <w:rFonts w:ascii="微软雅黑" w:eastAsia="微软雅黑" w:hAnsi="微软雅黑" w:cs="Helvetica" w:hint="eastAsia"/>
                <w:color w:val="404040"/>
                <w:kern w:val="0"/>
                <w:szCs w:val="21"/>
              </w:rPr>
              <w:t>购票人自行在本网站自助购票。购票前，需按照提示注册网站购票用户。仅支持持有公务卡的购票人购买。</w:t>
            </w:r>
          </w:p>
        </w:tc>
        <w:tc>
          <w:tcPr>
            <w:tcW w:w="1393" w:type="pct"/>
            <w:tcBorders>
              <w:top w:val="single" w:sz="6" w:space="0" w:color="0085CE"/>
              <w:left w:val="single" w:sz="6" w:space="0" w:color="0085CE"/>
              <w:bottom w:val="single" w:sz="6" w:space="0" w:color="0085CE"/>
              <w:right w:val="single" w:sz="6" w:space="0" w:color="0085CE"/>
            </w:tcBorders>
            <w:vAlign w:val="center"/>
            <w:hideMark/>
          </w:tcPr>
          <w:p w:rsidR="002A6DEA" w:rsidRPr="002A6DEA" w:rsidRDefault="002A6DEA" w:rsidP="002A6DEA">
            <w:pPr>
              <w:widowControl/>
              <w:jc w:val="center"/>
              <w:rPr>
                <w:rFonts w:ascii="微软雅黑" w:eastAsia="微软雅黑" w:hAnsi="微软雅黑" w:cs="Helvetica"/>
                <w:color w:val="404040"/>
                <w:kern w:val="0"/>
                <w:szCs w:val="21"/>
              </w:rPr>
            </w:pPr>
            <w:r w:rsidRPr="002A6DEA">
              <w:rPr>
                <w:rFonts w:ascii="微软雅黑" w:eastAsia="微软雅黑" w:hAnsi="微软雅黑" w:cs="Helvetica" w:hint="eastAsia"/>
                <w:color w:val="404040"/>
                <w:kern w:val="0"/>
                <w:szCs w:val="21"/>
              </w:rPr>
              <w:t>在政府采购机票管理网站首页点击“服务商查询”，选择并联系任意一家航空公司直销机构委托购票</w:t>
            </w:r>
          </w:p>
        </w:tc>
        <w:tc>
          <w:tcPr>
            <w:tcW w:w="1335" w:type="pct"/>
            <w:tcBorders>
              <w:top w:val="single" w:sz="6" w:space="0" w:color="0085CE"/>
              <w:left w:val="single" w:sz="6" w:space="0" w:color="0085CE"/>
              <w:bottom w:val="single" w:sz="6" w:space="0" w:color="0085CE"/>
              <w:right w:val="single" w:sz="6" w:space="0" w:color="0085CE"/>
            </w:tcBorders>
            <w:vAlign w:val="center"/>
            <w:hideMark/>
          </w:tcPr>
          <w:p w:rsidR="002A6DEA" w:rsidRPr="002A6DEA" w:rsidRDefault="002A6DEA" w:rsidP="002A6DEA">
            <w:pPr>
              <w:widowControl/>
              <w:jc w:val="center"/>
              <w:rPr>
                <w:rFonts w:ascii="微软雅黑" w:eastAsia="微软雅黑" w:hAnsi="微软雅黑" w:cs="Helvetica"/>
                <w:color w:val="404040"/>
                <w:kern w:val="0"/>
                <w:szCs w:val="21"/>
              </w:rPr>
            </w:pPr>
            <w:r w:rsidRPr="002A6DEA">
              <w:rPr>
                <w:rFonts w:ascii="微软雅黑" w:eastAsia="微软雅黑" w:hAnsi="微软雅黑" w:cs="Helvetica" w:hint="eastAsia"/>
                <w:color w:val="404040"/>
                <w:kern w:val="0"/>
                <w:szCs w:val="21"/>
              </w:rPr>
              <w:t>在政府采购机票管理网站首页点击“服务商查询”，选择并联系任意一家机票代理机构委托购票</w:t>
            </w:r>
          </w:p>
        </w:tc>
      </w:tr>
      <w:tr w:rsidR="002A6DEA" w:rsidRPr="002A6DEA" w:rsidTr="002A6DEA">
        <w:trPr>
          <w:trHeight w:val="425"/>
          <w:jc w:val="center"/>
        </w:trPr>
        <w:tc>
          <w:tcPr>
            <w:tcW w:w="0" w:type="auto"/>
            <w:tcBorders>
              <w:top w:val="single" w:sz="6" w:space="0" w:color="0085CE"/>
              <w:left w:val="single" w:sz="6" w:space="0" w:color="0085CE"/>
              <w:bottom w:val="single" w:sz="6" w:space="0" w:color="0085CE"/>
              <w:right w:val="single" w:sz="6" w:space="0" w:color="0085CE"/>
            </w:tcBorders>
            <w:vAlign w:val="center"/>
            <w:hideMark/>
          </w:tcPr>
          <w:p w:rsidR="002A6DEA" w:rsidRPr="002A6DEA" w:rsidRDefault="002A6DEA" w:rsidP="002A6DEA">
            <w:pPr>
              <w:widowControl/>
              <w:jc w:val="center"/>
              <w:rPr>
                <w:rFonts w:ascii="微软雅黑" w:eastAsia="微软雅黑" w:hAnsi="微软雅黑" w:cs="Helvetica"/>
                <w:b/>
                <w:bCs/>
                <w:color w:val="404040"/>
                <w:kern w:val="0"/>
                <w:szCs w:val="21"/>
              </w:rPr>
            </w:pPr>
            <w:r w:rsidRPr="002A6DEA">
              <w:rPr>
                <w:rFonts w:ascii="微软雅黑" w:eastAsia="微软雅黑" w:hAnsi="微软雅黑" w:cs="Helvetica" w:hint="eastAsia"/>
                <w:b/>
                <w:bCs/>
                <w:color w:val="404040"/>
                <w:kern w:val="0"/>
                <w:szCs w:val="21"/>
              </w:rPr>
              <w:t>验证方式</w:t>
            </w:r>
          </w:p>
        </w:tc>
        <w:tc>
          <w:tcPr>
            <w:tcW w:w="1905" w:type="pct"/>
            <w:tcBorders>
              <w:top w:val="single" w:sz="6" w:space="0" w:color="0085CE"/>
              <w:left w:val="single" w:sz="6" w:space="0" w:color="0085CE"/>
              <w:bottom w:val="single" w:sz="6" w:space="0" w:color="0085CE"/>
              <w:right w:val="single" w:sz="6" w:space="0" w:color="0085CE"/>
            </w:tcBorders>
            <w:vAlign w:val="center"/>
            <w:hideMark/>
          </w:tcPr>
          <w:p w:rsidR="002A6DEA" w:rsidRPr="002A6DEA" w:rsidRDefault="002A6DEA" w:rsidP="002A6DEA">
            <w:pPr>
              <w:widowControl/>
              <w:jc w:val="center"/>
              <w:rPr>
                <w:rFonts w:ascii="微软雅黑" w:eastAsia="微软雅黑" w:hAnsi="微软雅黑" w:cs="Helvetica"/>
                <w:color w:val="404040"/>
                <w:kern w:val="0"/>
                <w:szCs w:val="21"/>
              </w:rPr>
            </w:pPr>
            <w:r w:rsidRPr="002A6DEA">
              <w:rPr>
                <w:rFonts w:ascii="微软雅黑" w:eastAsia="微软雅黑" w:hAnsi="微软雅黑" w:cs="Helvetica" w:hint="eastAsia"/>
                <w:color w:val="404040"/>
                <w:kern w:val="0"/>
                <w:szCs w:val="21"/>
              </w:rPr>
              <w:t>公务卡验证</w:t>
            </w:r>
          </w:p>
        </w:tc>
        <w:tc>
          <w:tcPr>
            <w:tcW w:w="2728" w:type="pct"/>
            <w:gridSpan w:val="2"/>
            <w:tcBorders>
              <w:top w:val="single" w:sz="6" w:space="0" w:color="0085CE"/>
              <w:left w:val="single" w:sz="6" w:space="0" w:color="0085CE"/>
              <w:bottom w:val="single" w:sz="6" w:space="0" w:color="0085CE"/>
              <w:right w:val="single" w:sz="6" w:space="0" w:color="0085CE"/>
            </w:tcBorders>
            <w:vAlign w:val="center"/>
            <w:hideMark/>
          </w:tcPr>
          <w:p w:rsidR="002A6DEA" w:rsidRPr="002A6DEA" w:rsidRDefault="002A6DEA" w:rsidP="002A6DEA">
            <w:pPr>
              <w:widowControl/>
              <w:jc w:val="center"/>
              <w:rPr>
                <w:rFonts w:ascii="微软雅黑" w:eastAsia="微软雅黑" w:hAnsi="微软雅黑" w:cs="Helvetica"/>
                <w:color w:val="404040"/>
                <w:kern w:val="0"/>
                <w:szCs w:val="21"/>
              </w:rPr>
            </w:pPr>
            <w:r w:rsidRPr="002A6DEA">
              <w:rPr>
                <w:rFonts w:ascii="微软雅黑" w:eastAsia="微软雅黑" w:hAnsi="微软雅黑" w:cs="Helvetica" w:hint="eastAsia"/>
                <w:color w:val="404040"/>
                <w:kern w:val="0"/>
                <w:szCs w:val="21"/>
              </w:rPr>
              <w:t>公务卡验证或预算单位验证</w:t>
            </w:r>
          </w:p>
        </w:tc>
      </w:tr>
      <w:tr w:rsidR="002A6DEA" w:rsidRPr="002A6DEA" w:rsidTr="002A6DEA">
        <w:trPr>
          <w:trHeight w:val="425"/>
          <w:jc w:val="center"/>
        </w:trPr>
        <w:tc>
          <w:tcPr>
            <w:tcW w:w="0" w:type="auto"/>
            <w:tcBorders>
              <w:top w:val="single" w:sz="6" w:space="0" w:color="0085CE"/>
              <w:left w:val="single" w:sz="6" w:space="0" w:color="0085CE"/>
              <w:bottom w:val="single" w:sz="6" w:space="0" w:color="0085CE"/>
              <w:right w:val="single" w:sz="6" w:space="0" w:color="0085CE"/>
            </w:tcBorders>
            <w:vAlign w:val="center"/>
            <w:hideMark/>
          </w:tcPr>
          <w:p w:rsidR="002A6DEA" w:rsidRPr="002A6DEA" w:rsidRDefault="002A6DEA" w:rsidP="002A6DEA">
            <w:pPr>
              <w:widowControl/>
              <w:jc w:val="center"/>
              <w:rPr>
                <w:rFonts w:ascii="微软雅黑" w:eastAsia="微软雅黑" w:hAnsi="微软雅黑" w:cs="Helvetica"/>
                <w:b/>
                <w:bCs/>
                <w:color w:val="404040"/>
                <w:kern w:val="0"/>
                <w:szCs w:val="21"/>
              </w:rPr>
            </w:pPr>
            <w:r w:rsidRPr="002A6DEA">
              <w:rPr>
                <w:rFonts w:ascii="微软雅黑" w:eastAsia="微软雅黑" w:hAnsi="微软雅黑" w:cs="Helvetica" w:hint="eastAsia"/>
                <w:b/>
                <w:bCs/>
                <w:color w:val="404040"/>
                <w:kern w:val="0"/>
                <w:szCs w:val="21"/>
              </w:rPr>
              <w:t>支付方式</w:t>
            </w:r>
          </w:p>
        </w:tc>
        <w:tc>
          <w:tcPr>
            <w:tcW w:w="1905" w:type="pct"/>
            <w:tcBorders>
              <w:top w:val="single" w:sz="6" w:space="0" w:color="0085CE"/>
              <w:left w:val="single" w:sz="6" w:space="0" w:color="0085CE"/>
              <w:bottom w:val="single" w:sz="6" w:space="0" w:color="0085CE"/>
              <w:right w:val="single" w:sz="6" w:space="0" w:color="0085CE"/>
            </w:tcBorders>
            <w:vAlign w:val="center"/>
            <w:hideMark/>
          </w:tcPr>
          <w:p w:rsidR="002A6DEA" w:rsidRPr="002A6DEA" w:rsidRDefault="002A6DEA" w:rsidP="002A6DEA">
            <w:pPr>
              <w:widowControl/>
              <w:jc w:val="center"/>
              <w:rPr>
                <w:rFonts w:ascii="微软雅黑" w:eastAsia="微软雅黑" w:hAnsi="微软雅黑" w:cs="Helvetica"/>
                <w:color w:val="404040"/>
                <w:kern w:val="0"/>
                <w:szCs w:val="21"/>
              </w:rPr>
            </w:pPr>
            <w:r w:rsidRPr="002A6DEA">
              <w:rPr>
                <w:rFonts w:ascii="微软雅黑" w:eastAsia="微软雅黑" w:hAnsi="微软雅黑" w:cs="Helvetica" w:hint="eastAsia"/>
                <w:color w:val="404040"/>
                <w:kern w:val="0"/>
                <w:szCs w:val="21"/>
              </w:rPr>
              <w:t>公务卡</w:t>
            </w:r>
          </w:p>
        </w:tc>
        <w:tc>
          <w:tcPr>
            <w:tcW w:w="2728" w:type="pct"/>
            <w:gridSpan w:val="2"/>
            <w:tcBorders>
              <w:top w:val="single" w:sz="6" w:space="0" w:color="0085CE"/>
              <w:left w:val="single" w:sz="6" w:space="0" w:color="0085CE"/>
              <w:bottom w:val="single" w:sz="6" w:space="0" w:color="0085CE"/>
              <w:right w:val="single" w:sz="6" w:space="0" w:color="0085CE"/>
            </w:tcBorders>
            <w:vAlign w:val="center"/>
            <w:hideMark/>
          </w:tcPr>
          <w:p w:rsidR="002A6DEA" w:rsidRPr="002A6DEA" w:rsidRDefault="002A6DEA" w:rsidP="002A6DEA">
            <w:pPr>
              <w:widowControl/>
              <w:jc w:val="center"/>
              <w:rPr>
                <w:rFonts w:ascii="微软雅黑" w:eastAsia="微软雅黑" w:hAnsi="微软雅黑" w:cs="Helvetica"/>
                <w:color w:val="404040"/>
                <w:kern w:val="0"/>
                <w:szCs w:val="21"/>
              </w:rPr>
            </w:pPr>
            <w:r w:rsidRPr="002A6DEA">
              <w:rPr>
                <w:rFonts w:ascii="微软雅黑" w:eastAsia="微软雅黑" w:hAnsi="微软雅黑" w:cs="Helvetica" w:hint="eastAsia"/>
                <w:color w:val="404040"/>
                <w:kern w:val="0"/>
                <w:szCs w:val="21"/>
              </w:rPr>
              <w:t>根据身份验证方式，可使用公务卡或银行转账方式结算</w:t>
            </w:r>
          </w:p>
        </w:tc>
      </w:tr>
    </w:tbl>
    <w:p w:rsidR="002A6DEA" w:rsidRPr="002A6DEA" w:rsidRDefault="002A6DEA" w:rsidP="002A6DEA">
      <w:pPr>
        <w:widowControl/>
        <w:shd w:val="clear" w:color="auto" w:fill="FFFFFF"/>
        <w:jc w:val="left"/>
        <w:rPr>
          <w:rFonts w:ascii="宋体" w:eastAsia="宋体" w:hAnsi="宋体" w:cs="Helvetica" w:hint="eastAsia"/>
          <w:color w:val="484848"/>
          <w:kern w:val="0"/>
          <w:sz w:val="18"/>
          <w:szCs w:val="18"/>
        </w:rPr>
      </w:pPr>
    </w:p>
    <w:p w:rsidR="002A6DEA" w:rsidRPr="002A6DEA" w:rsidRDefault="002A6DEA" w:rsidP="002A6DEA">
      <w:pPr>
        <w:widowControl/>
        <w:shd w:val="clear" w:color="auto" w:fill="FFFFFF"/>
        <w:spacing w:after="135"/>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京外中央预算单位和地方预算单位按照属地化原则，根据所在地区推进公务机票购买管理改革的时间要求组织实施。</w:t>
      </w:r>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6、使用公务卡购票时，为何会有身份验证失败的情况？</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xml:space="preserve">    根据财政部 中国人民银行《关于加快推进公务卡制度改革的通知》（财库〔2012〕132号）要求，财政部对公务机票购买项目的公务卡范围有严格限定，仅认定6282、6283开头的银联标准卡为公务卡。 </w:t>
      </w:r>
      <w:r w:rsidRPr="002A6DEA">
        <w:rPr>
          <w:rFonts w:ascii="宋体" w:eastAsia="宋体" w:hAnsi="宋体" w:cs="Helvetica" w:hint="eastAsia"/>
          <w:color w:val="484848"/>
          <w:kern w:val="0"/>
          <w:szCs w:val="21"/>
        </w:rPr>
        <w:br/>
      </w:r>
      <w:r w:rsidRPr="002A6DEA">
        <w:rPr>
          <w:rFonts w:ascii="宋体" w:eastAsia="宋体" w:hAnsi="宋体" w:cs="Helvetica" w:hint="eastAsia"/>
          <w:color w:val="484848"/>
          <w:kern w:val="0"/>
          <w:szCs w:val="21"/>
        </w:rPr>
        <w:lastRenderedPageBreak/>
        <w:t>    此外，公务卡信息校验通过公务卡发卡行系统完成。若出现身份验证失败的情况，购票人需先联系发卡行客服核实卡片信息、卡片状态是否正常。</w:t>
      </w:r>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7、各预算单位如何使用财政性资金给没有公务卡的国内外专家等有关人员购买公务机票？</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对于此种情况，预算单位可使用银行转账方式到网站“服务商查询”模块中，选择服务商委托购票。</w:t>
      </w:r>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8、购票人使用公务卡进行票款支付时，额度不足如何处理？</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购票人使用公务卡进行票款支付时，如因额度不足支付失败，购票人应按照《财政部 中国人民银行关于印发&lt;中央预算单位公务卡管理暂行办法&gt;的通知》（财库〔2007〕63号）的有关规定，通过单位财务部门或个人向发卡行申请临时增加信用额度，或通过银行转账方式进行委托购票。</w:t>
      </w:r>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9、因工作需要公务卡不能在免息期及时还款时，应如何处理？</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确因工作需要，购票人不能在规定的免息还款期内返回单位办理公务卡报销手续的，可由持卡人或其所在单位相关人员向单位财务部门提供持卡人姓名、交易日期和每笔交易金额的明细信息，办理相关借款手续，经财务部门审核批准，于免息还款期之前，先将资金转入公务卡，持卡人返回单位后按财务部门规定时间补办报销手续。</w:t>
      </w:r>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10、购票人如何获取《航空运输电子客票行程单》？</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购票人可直接在服务商处获取《航空运输电子客票行程单》（以下简称《行程单》），也可到航班承运航空公司的机场柜台、自助设备或各地营业部打印报销凭证。</w:t>
      </w:r>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lastRenderedPageBreak/>
        <w:t>11、如何获取机票查验单？</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xml:space="preserve">    购票人在具备服务商资质的航空公司直销渠道或代理机构分销渠道购买政府采购机票的，由出票服务商提供机票查验单；购票人也可点击“机票查验单查询”自行查询并打印查验单。 </w:t>
      </w:r>
      <w:r w:rsidRPr="002A6DEA">
        <w:rPr>
          <w:rFonts w:ascii="宋体" w:eastAsia="宋体" w:hAnsi="宋体" w:cs="Helvetica" w:hint="eastAsia"/>
          <w:color w:val="484848"/>
          <w:kern w:val="0"/>
          <w:szCs w:val="21"/>
        </w:rPr>
        <w:br/>
        <w:t>    附件：</w:t>
      </w:r>
      <w:hyperlink r:id="rId8" w:history="1">
        <w:r w:rsidRPr="002A6DEA">
          <w:rPr>
            <w:rFonts w:ascii="宋体" w:eastAsia="宋体" w:hAnsi="宋体" w:cs="Helvetica" w:hint="eastAsia"/>
            <w:color w:val="008DD3"/>
            <w:kern w:val="0"/>
            <w:szCs w:val="21"/>
          </w:rPr>
          <w:t>机票查验单查询指南</w:t>
        </w:r>
      </w:hyperlink>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12、《行程单》上没有机票查验号码，如何报销？</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《行程单》上没有机票查验号码的，报销时，需附单位外事部门和财务部门审核通过的《乘坐非国内航空公司航班和改变中转地审批表》一同报销。</w:t>
      </w:r>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13、政府采购机票的退票、改签政策是什么？</w:t>
      </w:r>
    </w:p>
    <w:p w:rsidR="002A6DEA" w:rsidRPr="002A6DEA" w:rsidRDefault="002A6DEA" w:rsidP="002A6DEA">
      <w:pPr>
        <w:widowControl/>
        <w:shd w:val="clear" w:color="auto" w:fill="FFFFFF"/>
        <w:spacing w:after="135"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政府采购机票退票、改签政策严格按照现有市场对应舱位政策执行，如某航空公司市场全价舱位机票可以免费退票、改签，则政府采购机票享受优惠折扣后依然可以免费退票、改签，鉴于各航空公司退票、改签政策存在差异，具体政策请咨询各航空公司。</w:t>
      </w:r>
    </w:p>
    <w:p w:rsidR="002A6DEA" w:rsidRPr="002A6DEA" w:rsidRDefault="002A6DEA" w:rsidP="002A6DEA">
      <w:pPr>
        <w:widowControl/>
        <w:shd w:val="clear" w:color="auto" w:fill="FFFFFF"/>
        <w:spacing w:before="100" w:beforeAutospacing="1" w:after="100" w:afterAutospacing="1" w:line="300" w:lineRule="atLeast"/>
        <w:jc w:val="left"/>
        <w:outlineLvl w:val="3"/>
        <w:rPr>
          <w:rFonts w:ascii="宋体" w:eastAsia="宋体" w:hAnsi="宋体" w:cs="Helvetica" w:hint="eastAsia"/>
          <w:b/>
          <w:bCs/>
          <w:color w:val="484848"/>
          <w:kern w:val="0"/>
          <w:sz w:val="30"/>
          <w:szCs w:val="30"/>
        </w:rPr>
      </w:pPr>
      <w:r w:rsidRPr="002A6DEA">
        <w:rPr>
          <w:rFonts w:ascii="宋体" w:eastAsia="宋体" w:hAnsi="宋体" w:cs="Helvetica" w:hint="eastAsia"/>
          <w:b/>
          <w:bCs/>
          <w:color w:val="484848"/>
          <w:kern w:val="0"/>
          <w:sz w:val="30"/>
          <w:szCs w:val="30"/>
        </w:rPr>
        <w:t>14、如何办理政府采购机票退票、改签。</w:t>
      </w:r>
    </w:p>
    <w:p w:rsidR="002A6DEA" w:rsidRPr="002A6DEA" w:rsidRDefault="002A6DEA" w:rsidP="002A6DEA">
      <w:pPr>
        <w:widowControl/>
        <w:shd w:val="clear" w:color="auto" w:fill="FFFFFF"/>
        <w:spacing w:line="480" w:lineRule="auto"/>
        <w:jc w:val="left"/>
        <w:rPr>
          <w:rFonts w:ascii="宋体" w:eastAsia="宋体" w:hAnsi="宋体" w:cs="Helvetica" w:hint="eastAsia"/>
          <w:color w:val="484848"/>
          <w:kern w:val="0"/>
          <w:szCs w:val="21"/>
        </w:rPr>
      </w:pPr>
      <w:r w:rsidRPr="002A6DEA">
        <w:rPr>
          <w:rFonts w:ascii="宋体" w:eastAsia="宋体" w:hAnsi="宋体" w:cs="Helvetica" w:hint="eastAsia"/>
          <w:color w:val="484848"/>
          <w:kern w:val="0"/>
          <w:szCs w:val="21"/>
        </w:rPr>
        <w:t xml:space="preserve">    在服务商渠道（代理机构、航空公司营业部及柜台）购买政府采购机票需要退票或改签时，可直接联系出票服务商办理。退票时，可根据代理机构或航空公司开具的退款单据进行报销。 </w:t>
      </w:r>
      <w:r w:rsidRPr="002A6DEA">
        <w:rPr>
          <w:rFonts w:ascii="宋体" w:eastAsia="宋体" w:hAnsi="宋体" w:cs="Helvetica" w:hint="eastAsia"/>
          <w:color w:val="484848"/>
          <w:kern w:val="0"/>
          <w:szCs w:val="21"/>
        </w:rPr>
        <w:br/>
        <w:t>    在政府采购机票管理网站购买政府采购机票需要退票时，登陆后选择“我的订单”，进入需要退票的订单页面并点击“申请退票”按钮，按照航空公司页面相关提示申请退票。</w:t>
      </w:r>
      <w:r w:rsidRPr="002A6DEA">
        <w:rPr>
          <w:rFonts w:ascii="宋体" w:eastAsia="宋体" w:hAnsi="宋体" w:cs="Helvetica" w:hint="eastAsia"/>
          <w:color w:val="484848"/>
          <w:kern w:val="0"/>
          <w:szCs w:val="21"/>
        </w:rPr>
        <w:lastRenderedPageBreak/>
        <w:t>需要报销时，可致电该航空公司客服联系邮寄退款单据；在政府采购机票管理网站购买政府采购机票需要改签时，请直接致电航空公司客服电话进行办理。</w:t>
      </w:r>
    </w:p>
    <w:p w:rsidR="003C72AB" w:rsidRPr="002A6DEA" w:rsidRDefault="003C72AB"/>
    <w:sectPr w:rsidR="003C72AB" w:rsidRPr="002A6D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2AB" w:rsidRDefault="003C72AB" w:rsidP="002A6DEA">
      <w:r>
        <w:separator/>
      </w:r>
    </w:p>
  </w:endnote>
  <w:endnote w:type="continuationSeparator" w:id="1">
    <w:p w:rsidR="003C72AB" w:rsidRDefault="003C72AB" w:rsidP="002A6D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2AB" w:rsidRDefault="003C72AB" w:rsidP="002A6DEA">
      <w:r>
        <w:separator/>
      </w:r>
    </w:p>
  </w:footnote>
  <w:footnote w:type="continuationSeparator" w:id="1">
    <w:p w:rsidR="003C72AB" w:rsidRDefault="003C72AB" w:rsidP="002A6D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6DEA"/>
    <w:rsid w:val="002A6DEA"/>
    <w:rsid w:val="003C72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2A6DEA"/>
    <w:pPr>
      <w:widowControl/>
      <w:spacing w:before="100" w:beforeAutospacing="1" w:after="100" w:afterAutospacing="1" w:line="405" w:lineRule="atLeast"/>
      <w:jc w:val="left"/>
      <w:outlineLvl w:val="2"/>
    </w:pPr>
    <w:rPr>
      <w:rFonts w:ascii="宋体" w:eastAsia="宋体" w:hAnsi="宋体" w:cs="宋体"/>
      <w:b/>
      <w:bCs/>
      <w:color w:val="212121"/>
      <w:kern w:val="0"/>
      <w:sz w:val="35"/>
      <w:szCs w:val="35"/>
    </w:rPr>
  </w:style>
  <w:style w:type="paragraph" w:styleId="4">
    <w:name w:val="heading 4"/>
    <w:basedOn w:val="a"/>
    <w:link w:val="4Char"/>
    <w:uiPriority w:val="9"/>
    <w:qFormat/>
    <w:rsid w:val="002A6DEA"/>
    <w:pPr>
      <w:widowControl/>
      <w:spacing w:before="100" w:beforeAutospacing="1" w:after="100" w:afterAutospacing="1" w:line="300" w:lineRule="atLeast"/>
      <w:jc w:val="left"/>
      <w:outlineLvl w:val="3"/>
    </w:pPr>
    <w:rPr>
      <w:rFonts w:ascii="宋体" w:eastAsia="宋体" w:hAnsi="宋体" w:cs="宋体"/>
      <w:b/>
      <w:bCs/>
      <w:kern w:val="0"/>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6D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6DEA"/>
    <w:rPr>
      <w:sz w:val="18"/>
      <w:szCs w:val="18"/>
    </w:rPr>
  </w:style>
  <w:style w:type="paragraph" w:styleId="a4">
    <w:name w:val="footer"/>
    <w:basedOn w:val="a"/>
    <w:link w:val="Char0"/>
    <w:uiPriority w:val="99"/>
    <w:semiHidden/>
    <w:unhideWhenUsed/>
    <w:rsid w:val="002A6DE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6DEA"/>
    <w:rPr>
      <w:sz w:val="18"/>
      <w:szCs w:val="18"/>
    </w:rPr>
  </w:style>
  <w:style w:type="character" w:customStyle="1" w:styleId="3Char">
    <w:name w:val="标题 3 Char"/>
    <w:basedOn w:val="a0"/>
    <w:link w:val="3"/>
    <w:uiPriority w:val="9"/>
    <w:rsid w:val="002A6DEA"/>
    <w:rPr>
      <w:rFonts w:ascii="宋体" w:eastAsia="宋体" w:hAnsi="宋体" w:cs="宋体"/>
      <w:b/>
      <w:bCs/>
      <w:color w:val="212121"/>
      <w:kern w:val="0"/>
      <w:sz w:val="35"/>
      <w:szCs w:val="35"/>
    </w:rPr>
  </w:style>
  <w:style w:type="character" w:customStyle="1" w:styleId="4Char">
    <w:name w:val="标题 4 Char"/>
    <w:basedOn w:val="a0"/>
    <w:link w:val="4"/>
    <w:uiPriority w:val="9"/>
    <w:rsid w:val="002A6DEA"/>
    <w:rPr>
      <w:rFonts w:ascii="宋体" w:eastAsia="宋体" w:hAnsi="宋体" w:cs="宋体"/>
      <w:b/>
      <w:bCs/>
      <w:kern w:val="0"/>
      <w:sz w:val="30"/>
      <w:szCs w:val="30"/>
    </w:rPr>
  </w:style>
  <w:style w:type="character" w:styleId="a5">
    <w:name w:val="Hyperlink"/>
    <w:basedOn w:val="a0"/>
    <w:uiPriority w:val="99"/>
    <w:semiHidden/>
    <w:unhideWhenUsed/>
    <w:rsid w:val="002A6DEA"/>
    <w:rPr>
      <w:strike w:val="0"/>
      <w:dstrike w:val="0"/>
      <w:color w:val="008DD3"/>
      <w:u w:val="none"/>
      <w:effect w:val="none"/>
    </w:rPr>
  </w:style>
  <w:style w:type="paragraph" w:styleId="a6">
    <w:name w:val="Normal (Web)"/>
    <w:basedOn w:val="a"/>
    <w:uiPriority w:val="99"/>
    <w:semiHidden/>
    <w:unhideWhenUsed/>
    <w:rsid w:val="002A6DEA"/>
    <w:pPr>
      <w:widowControl/>
      <w:spacing w:after="135"/>
      <w:jc w:val="left"/>
    </w:pPr>
    <w:rPr>
      <w:rFonts w:ascii="宋体" w:eastAsia="宋体" w:hAnsi="宋体" w:cs="宋体"/>
      <w:kern w:val="0"/>
      <w:szCs w:val="21"/>
    </w:rPr>
  </w:style>
</w:styles>
</file>

<file path=word/webSettings.xml><?xml version="1.0" encoding="utf-8"?>
<w:webSettings xmlns:r="http://schemas.openxmlformats.org/officeDocument/2006/relationships" xmlns:w="http://schemas.openxmlformats.org/wordprocessingml/2006/main">
  <w:divs>
    <w:div w:id="1501968455">
      <w:bodyDiv w:val="1"/>
      <w:marLeft w:val="0"/>
      <w:marRight w:val="0"/>
      <w:marTop w:val="0"/>
      <w:marBottom w:val="0"/>
      <w:divBdr>
        <w:top w:val="none" w:sz="0" w:space="0" w:color="auto"/>
        <w:left w:val="none" w:sz="0" w:space="0" w:color="auto"/>
        <w:bottom w:val="none" w:sz="0" w:space="0" w:color="auto"/>
        <w:right w:val="none" w:sz="0" w:space="0" w:color="auto"/>
      </w:divBdr>
      <w:divsChild>
        <w:div w:id="177013008">
          <w:marLeft w:val="0"/>
          <w:marRight w:val="0"/>
          <w:marTop w:val="0"/>
          <w:marBottom w:val="225"/>
          <w:divBdr>
            <w:top w:val="none" w:sz="0" w:space="0" w:color="auto"/>
            <w:left w:val="none" w:sz="0" w:space="0" w:color="auto"/>
            <w:bottom w:val="none" w:sz="0" w:space="0" w:color="auto"/>
            <w:right w:val="none" w:sz="0" w:space="0" w:color="auto"/>
          </w:divBdr>
          <w:divsChild>
            <w:div w:id="1188786621">
              <w:marLeft w:val="0"/>
              <w:marRight w:val="0"/>
              <w:marTop w:val="0"/>
              <w:marBottom w:val="0"/>
              <w:divBdr>
                <w:top w:val="single" w:sz="6" w:space="0" w:color="7CBAEC"/>
                <w:left w:val="single" w:sz="6" w:space="0" w:color="7CBAEC"/>
                <w:bottom w:val="single" w:sz="6" w:space="0" w:color="7CBAEC"/>
                <w:right w:val="single" w:sz="6" w:space="0" w:color="7CBAEC"/>
              </w:divBdr>
              <w:divsChild>
                <w:div w:id="43112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pticket.org/announcement/officerCardQueryManual.action" TargetMode="External"/><Relationship Id="rId3" Type="http://schemas.openxmlformats.org/officeDocument/2006/relationships/webSettings" Target="webSettings.xml"/><Relationship Id="rId7" Type="http://schemas.openxmlformats.org/officeDocument/2006/relationships/hyperlink" Target="https://www.gpticket.org/announcement/gpInterAirlineRules.ac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pticket.org/announcement/getBudgetUnit.actio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461</Words>
  <Characters>2632</Characters>
  <Application>Microsoft Office Word</Application>
  <DocSecurity>0</DocSecurity>
  <Lines>21</Lines>
  <Paragraphs>6</Paragraphs>
  <ScaleCrop>false</ScaleCrop>
  <Company/>
  <LinksUpToDate>false</LinksUpToDate>
  <CharactersWithSpaces>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2015-01-03T05:01:00Z</dcterms:created>
  <dcterms:modified xsi:type="dcterms:W3CDTF">2015-01-03T05:02:00Z</dcterms:modified>
</cp:coreProperties>
</file>