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04653" w:rsidP="00912DD0">
      <w:pPr>
        <w:pStyle w:val="a0"/>
        <w:ind w:leftChars="0" w:left="0" w:right="1470"/>
        <w:rPr>
          <w:rFonts w:ascii="CESI黑体-GB2312" w:eastAsia="CESI黑体-GB2312" w:hAnsi="CESI黑体-GB2312" w:cs="CESI黑体-GB2312" w:hint="eastAsia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京财</w:t>
      </w:r>
      <w:r>
        <w:rPr>
          <w:rFonts w:ascii="CESI黑体-GB2312" w:eastAsia="CESI黑体-GB2312" w:hAnsi="CESI黑体-GB2312" w:cs="CESI黑体-GB2312" w:hint="eastAsia"/>
          <w:sz w:val="32"/>
          <w:szCs w:val="32"/>
        </w:rPr>
        <w:t>采购</w:t>
      </w:r>
      <w:r>
        <w:rPr>
          <w:rFonts w:ascii="CESI黑体-GB2312" w:eastAsia="CESI黑体-GB2312" w:hAnsi="CESI黑体-GB2312" w:cs="CESI黑体-GB2312" w:hint="eastAsia"/>
          <w:sz w:val="32"/>
          <w:szCs w:val="32"/>
        </w:rPr>
        <w:t>〔</w:t>
      </w:r>
      <w:r>
        <w:rPr>
          <w:rFonts w:ascii="CESI黑体-GB2312" w:eastAsia="CESI黑体-GB2312" w:hAnsi="CESI黑体-GB2312" w:cs="CESI黑体-GB2312" w:hint="eastAsia"/>
          <w:sz w:val="32"/>
          <w:szCs w:val="32"/>
        </w:rPr>
        <w:t>2022</w:t>
      </w:r>
      <w:r>
        <w:rPr>
          <w:rFonts w:ascii="CESI黑体-GB2312" w:eastAsia="CESI黑体-GB2312" w:hAnsi="CESI黑体-GB2312" w:cs="CESI黑体-GB2312" w:hint="eastAsia"/>
          <w:sz w:val="32"/>
          <w:szCs w:val="32"/>
        </w:rPr>
        <w:t>〕</w:t>
      </w:r>
      <w:r>
        <w:rPr>
          <w:rFonts w:ascii="CESI黑体-GB2312" w:eastAsia="CESI黑体-GB2312" w:hAnsi="CESI黑体-GB2312" w:cs="CESI黑体-GB2312" w:hint="eastAsia"/>
          <w:sz w:val="32"/>
          <w:szCs w:val="32"/>
        </w:rPr>
        <w:t>2510</w:t>
      </w:r>
      <w:r>
        <w:rPr>
          <w:rFonts w:ascii="CESI黑体-GB2312" w:eastAsia="CESI黑体-GB2312" w:hAnsi="CESI黑体-GB2312" w:cs="CESI黑体-GB2312" w:hint="eastAsia"/>
          <w:sz w:val="32"/>
          <w:szCs w:val="32"/>
        </w:rPr>
        <w:t>号</w:t>
      </w:r>
      <w:r>
        <w:rPr>
          <w:rFonts w:ascii="CESI黑体-GB2312" w:eastAsia="CESI黑体-GB2312" w:hAnsi="CESI黑体-GB2312" w:cs="CESI黑体-GB2312" w:hint="eastAsia"/>
          <w:sz w:val="32"/>
          <w:szCs w:val="32"/>
        </w:rPr>
        <w:t>附件</w:t>
      </w:r>
    </w:p>
    <w:p w:rsidR="00000000" w:rsidRDefault="00E04653" w:rsidP="00912DD0">
      <w:pPr>
        <w:pStyle w:val="a0"/>
        <w:ind w:leftChars="0" w:left="0" w:right="1470"/>
        <w:rPr>
          <w:rFonts w:ascii="CESI黑体-GB2312" w:eastAsia="CESI黑体-GB2312" w:hAnsi="CESI黑体-GB2312" w:cs="CESI黑体-GB2312" w:hint="eastAsia"/>
          <w:sz w:val="32"/>
          <w:szCs w:val="32"/>
        </w:rPr>
      </w:pPr>
    </w:p>
    <w:p w:rsidR="00000000" w:rsidRDefault="00E04653">
      <w:pPr>
        <w:spacing w:line="560" w:lineRule="exact"/>
        <w:jc w:val="center"/>
        <w:rPr>
          <w:rFonts w:ascii="方正小标宋简体" w:eastAsia="方正小标宋简体" w:hAnsi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</w:rPr>
        <w:t>北京市政府采购集中采购目录及标准</w:t>
      </w:r>
    </w:p>
    <w:p w:rsidR="00000000" w:rsidRDefault="00E04653">
      <w:pPr>
        <w:spacing w:line="560" w:lineRule="exact"/>
        <w:jc w:val="center"/>
        <w:rPr>
          <w:rFonts w:ascii="方正小标宋简体" w:eastAsia="方正小标宋简体" w:hAnsi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</w:rPr>
        <w:t>（</w:t>
      </w:r>
      <w:r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</w:rPr>
        <w:t>2023</w:t>
      </w:r>
      <w:r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</w:rPr>
        <w:t>年版）</w:t>
      </w:r>
    </w:p>
    <w:p w:rsidR="00000000" w:rsidRDefault="00E04653">
      <w:pPr>
        <w:spacing w:line="560" w:lineRule="exact"/>
        <w:ind w:leftChars="88" w:left="185"/>
        <w:rPr>
          <w:rFonts w:ascii="Times New Roman" w:eastAsia="仿宋" w:hAnsi="Times New Roman"/>
          <w:color w:val="000000"/>
          <w:kern w:val="0"/>
          <w:sz w:val="32"/>
          <w:szCs w:val="22"/>
        </w:rPr>
      </w:pPr>
    </w:p>
    <w:p w:rsidR="00000000" w:rsidRDefault="00E046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根据《中华人民共和国政府采购法》《中华人民共和国政府采购法实施条例》以及相关政策规定，结合北京市具体情况，现制定北京市政府采购集中采购目录及标准（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2023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年版）如下。</w:t>
      </w:r>
    </w:p>
    <w:p w:rsidR="00000000" w:rsidRDefault="00E04653">
      <w:pPr>
        <w:spacing w:line="560" w:lineRule="exact"/>
        <w:ind w:left="640"/>
        <w:rPr>
          <w:rFonts w:ascii="黑体" w:eastAsia="黑体" w:hAnsi="黑体" w:cs="黑体" w:hint="eastAsia"/>
          <w:color w:val="000000"/>
          <w:kern w:val="0"/>
          <w:sz w:val="32"/>
          <w:szCs w:val="2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22"/>
        </w:rPr>
        <w:t>一、集中采购目录品目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"/>
        <w:gridCol w:w="1995"/>
        <w:gridCol w:w="1387"/>
        <w:gridCol w:w="5250"/>
      </w:tblGrid>
      <w:tr w:rsidR="00000000">
        <w:trPr>
          <w:trHeight w:val="76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品目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编码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说明</w:t>
            </w: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服务器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A02010104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85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台式计算机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A02010105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根据《政府采购品目分类目录》，不包括巨型计算机、大型计算机、中型计算机、图形工作站等。</w:t>
            </w:r>
          </w:p>
        </w:tc>
      </w:tr>
      <w:tr w:rsidR="00000000">
        <w:trPr>
          <w:trHeight w:val="57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便携式计算机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A02010108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根据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《政府采购品目分类目录》，不包括移动工作站等。</w:t>
            </w: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复印机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A02020100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投影仪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A02020200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用于测量、测绘等专用投影仪除外。</w:t>
            </w:r>
          </w:p>
        </w:tc>
      </w:tr>
      <w:tr w:rsidR="00000000">
        <w:trPr>
          <w:trHeight w:val="57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多功能一体机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A02020400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具有多种办公功能的设备，例如带有打印功能的复印机等。</w:t>
            </w: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触控一体机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A02020800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包括室内型、户外型触摸屏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互动屏等。</w:t>
            </w:r>
          </w:p>
        </w:tc>
      </w:tr>
      <w:tr w:rsidR="00000000">
        <w:trPr>
          <w:trHeight w:val="114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黑白打印机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A02021001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根据《政府采购品目分类目录》，将原按技术类型分类的喷墨打印机、激光打印机等，根据资产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lastRenderedPageBreak/>
              <w:t>配置标准的分类方式，调整为按功能分类的打印机。</w:t>
            </w: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lastRenderedPageBreak/>
              <w:t>9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彩色打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印机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A02021002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黑白打印机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A02021003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彩色打印机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A02021004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票据打印机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A02021006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液晶显示器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A02021104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扫描仪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A02021118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碎纸机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A02021301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轿车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A02030501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越野车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A02030502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57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小型客车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A02030503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车长小于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6000mm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且乘坐人数小于或等于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人的载客汽车。</w:t>
            </w:r>
          </w:p>
        </w:tc>
      </w:tr>
      <w:tr w:rsidR="00000000">
        <w:trPr>
          <w:trHeight w:val="57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中型客车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A02030504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车长小于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6000mm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且乘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坐人数为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10-19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人的载客汽车。</w:t>
            </w:r>
          </w:p>
        </w:tc>
      </w:tr>
      <w:tr w:rsidR="00000000">
        <w:trPr>
          <w:trHeight w:val="57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大型客车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A02030505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车长大于或等于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6000mm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或者乘坐人数大于或等于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人的载客汽车。</w:t>
            </w:r>
          </w:p>
        </w:tc>
      </w:tr>
      <w:tr w:rsidR="00000000">
        <w:trPr>
          <w:trHeight w:val="57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不间断电源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A02061504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包括后备式不间断电源、在线式不间断电源等，也称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UPS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。</w:t>
            </w:r>
          </w:p>
        </w:tc>
      </w:tr>
      <w:tr w:rsidR="00000000">
        <w:trPr>
          <w:trHeight w:val="57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空调机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A02061804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根据《政府采购品目分类目录》，不包括其中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A02052300-A02052399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的制冷空调设备。</w:t>
            </w: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钢木床类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A05010101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木质床类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A05010104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办公桌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A05010201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lastRenderedPageBreak/>
              <w:t>26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会议桌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0202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茶几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A05010204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包含大茶几、小茶几。</w:t>
            </w:r>
          </w:p>
        </w:tc>
      </w:tr>
      <w:tr w:rsidR="00000000">
        <w:trPr>
          <w:trHeight w:val="57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其他台、桌类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A05010299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仅包含电脑桌、主席台桌、条桌、折叠长条桌、演讲桌、接待桌。</w:t>
            </w: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办公椅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A05010301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桌前椅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A05010302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会议椅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A05010303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其他椅凳类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A05010399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仅包含排椅、折叠椅、等候椅、长条凳。</w:t>
            </w:r>
          </w:p>
        </w:tc>
      </w:tr>
      <w:tr w:rsidR="00000000">
        <w:trPr>
          <w:trHeight w:val="33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1995" w:type="dxa"/>
          </w:tcPr>
          <w:p w:rsidR="00000000" w:rsidRDefault="00E04653"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三人沙发</w:t>
            </w:r>
          </w:p>
        </w:tc>
        <w:tc>
          <w:tcPr>
            <w:tcW w:w="1387" w:type="dxa"/>
          </w:tcPr>
          <w:p w:rsidR="00000000" w:rsidRDefault="00E04653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A05010401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仅包含木骨架沙发类及金属骨架沙发类。</w:t>
            </w:r>
          </w:p>
        </w:tc>
      </w:tr>
      <w:tr w:rsidR="00000000">
        <w:trPr>
          <w:trHeight w:val="33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1995" w:type="dxa"/>
          </w:tcPr>
          <w:p w:rsidR="00000000" w:rsidRDefault="00E04653"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单人沙发</w:t>
            </w:r>
          </w:p>
        </w:tc>
        <w:tc>
          <w:tcPr>
            <w:tcW w:w="1387" w:type="dxa"/>
          </w:tcPr>
          <w:p w:rsidR="00000000" w:rsidRDefault="00E04653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A05010402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仅包含木骨架沙发类及金属骨架沙发类。</w:t>
            </w:r>
          </w:p>
        </w:tc>
      </w:tr>
      <w:tr w:rsidR="00000000">
        <w:trPr>
          <w:trHeight w:val="58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其他沙发类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A05010499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仅包含木骨架沙发类及金属骨架沙发类除三人、单人以外长条沙发。</w:t>
            </w:r>
          </w:p>
        </w:tc>
      </w:tr>
      <w:tr w:rsidR="00000000">
        <w:trPr>
          <w:trHeight w:val="33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1995" w:type="dxa"/>
          </w:tcPr>
          <w:p w:rsidR="00000000" w:rsidRDefault="00E04653"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书柜</w:t>
            </w:r>
          </w:p>
        </w:tc>
        <w:tc>
          <w:tcPr>
            <w:tcW w:w="1387" w:type="dxa"/>
          </w:tcPr>
          <w:p w:rsidR="00000000" w:rsidRDefault="00E04653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A05010501</w:t>
            </w:r>
          </w:p>
        </w:tc>
        <w:tc>
          <w:tcPr>
            <w:tcW w:w="5250" w:type="dxa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33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1995" w:type="dxa"/>
          </w:tcPr>
          <w:p w:rsidR="00000000" w:rsidRDefault="00E04653"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文件柜</w:t>
            </w:r>
          </w:p>
        </w:tc>
        <w:tc>
          <w:tcPr>
            <w:tcW w:w="1387" w:type="dxa"/>
          </w:tcPr>
          <w:p w:rsidR="00000000" w:rsidRDefault="00E04653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A05010502</w:t>
            </w:r>
          </w:p>
        </w:tc>
        <w:tc>
          <w:tcPr>
            <w:tcW w:w="5250" w:type="dxa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33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1995" w:type="dxa"/>
          </w:tcPr>
          <w:p w:rsidR="00000000" w:rsidRDefault="00E04653"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更衣柜</w:t>
            </w:r>
          </w:p>
        </w:tc>
        <w:tc>
          <w:tcPr>
            <w:tcW w:w="1387" w:type="dxa"/>
          </w:tcPr>
          <w:p w:rsidR="00000000" w:rsidRDefault="00E04653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A05010503</w:t>
            </w:r>
          </w:p>
        </w:tc>
        <w:tc>
          <w:tcPr>
            <w:tcW w:w="5250" w:type="dxa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33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1995" w:type="dxa"/>
          </w:tcPr>
          <w:p w:rsidR="00000000" w:rsidRDefault="00E04653"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保密柜</w:t>
            </w:r>
          </w:p>
        </w:tc>
        <w:tc>
          <w:tcPr>
            <w:tcW w:w="1387" w:type="dxa"/>
          </w:tcPr>
          <w:p w:rsidR="00000000" w:rsidRDefault="00E04653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A05010504</w:t>
            </w:r>
          </w:p>
        </w:tc>
        <w:tc>
          <w:tcPr>
            <w:tcW w:w="5250" w:type="dxa"/>
          </w:tcPr>
          <w:p w:rsidR="00000000" w:rsidRDefault="00E04653"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包括保险柜等。</w:t>
            </w:r>
          </w:p>
        </w:tc>
      </w:tr>
      <w:tr w:rsidR="00000000">
        <w:trPr>
          <w:trHeight w:val="33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1995" w:type="dxa"/>
          </w:tcPr>
          <w:p w:rsidR="00000000" w:rsidRDefault="00E04653">
            <w:pPr>
              <w:widowControl/>
              <w:spacing w:line="560" w:lineRule="exact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茶水柜</w:t>
            </w:r>
          </w:p>
        </w:tc>
        <w:tc>
          <w:tcPr>
            <w:tcW w:w="1387" w:type="dxa"/>
          </w:tcPr>
          <w:p w:rsidR="00000000" w:rsidRDefault="00E04653">
            <w:pPr>
              <w:widowControl/>
              <w:spacing w:line="56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A05010505</w:t>
            </w:r>
          </w:p>
        </w:tc>
        <w:tc>
          <w:tcPr>
            <w:tcW w:w="5250" w:type="dxa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58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其他柜类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A05010599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textAlignment w:val="top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仅包含床头柜、电视柜、卡片柜。</w:t>
            </w: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木质架类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A05010601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金属质架类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A05010602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组合家具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A05010800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仅指组合柜。</w:t>
            </w: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复印纸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A05040101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包括再生复印纸。</w:t>
            </w:r>
          </w:p>
        </w:tc>
      </w:tr>
      <w:tr w:rsidR="00000000">
        <w:trPr>
          <w:trHeight w:val="57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基础软件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A08060301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包括操作系统、数据库管理系统、中间件、办公套件等。</w:t>
            </w:r>
          </w:p>
        </w:tc>
      </w:tr>
      <w:tr w:rsidR="00000000">
        <w:trPr>
          <w:trHeight w:val="85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lastRenderedPageBreak/>
              <w:t>47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云计算服务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C16040000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仅指云计算服务中的基础服务，包括计算服务、小型机计算服务、存储服务、网络服务、云主机深度监控服务。</w:t>
            </w:r>
          </w:p>
        </w:tc>
      </w:tr>
      <w:tr w:rsidR="00000000">
        <w:trPr>
          <w:trHeight w:val="57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网络接入服务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C17010200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仅指适用于以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LAN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SDH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方式接入互联网（外网）的项目，不包括内网、专网接入服务。</w:t>
            </w: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财产保险服务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C18040102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仅包括机动车保险服务。</w:t>
            </w:r>
          </w:p>
        </w:tc>
      </w:tr>
      <w:tr w:rsidR="00000000">
        <w:trPr>
          <w:trHeight w:val="85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物业管理服务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C2104000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0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仅指办公场所水电供应服务、设备运行、门窗保养维护、保洁、绿化养护等的管理及服务。</w:t>
            </w:r>
          </w:p>
        </w:tc>
      </w:tr>
      <w:tr w:rsidR="00000000">
        <w:trPr>
          <w:trHeight w:val="57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大型会议服务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C22010100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包括全国或区域党代会、人代会、政协会等大型会议服务。指一类、二类会议。</w:t>
            </w:r>
          </w:p>
        </w:tc>
      </w:tr>
      <w:tr w:rsidR="00000000">
        <w:trPr>
          <w:trHeight w:val="57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一般会议服务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C22010200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包括研讨会、表彰会等会议服务。指三类会议。</w:t>
            </w:r>
          </w:p>
        </w:tc>
      </w:tr>
      <w:tr w:rsidR="00000000">
        <w:trPr>
          <w:trHeight w:val="570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单证印刷服务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C23090101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包括各类表单、证件、证书（出入境证件、防伪膜、电子证件元件层等）的印刷服务。</w:t>
            </w:r>
          </w:p>
        </w:tc>
      </w:tr>
      <w:tr w:rsidR="00000000">
        <w:trPr>
          <w:trHeight w:val="40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票据印刷服务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C23090102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包括发票、收据等票据的印刷服务。</w:t>
            </w:r>
          </w:p>
        </w:tc>
      </w:tr>
      <w:tr w:rsidR="00000000">
        <w:trPr>
          <w:trHeight w:val="142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其他印刷服务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C230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90199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仅包括：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——文件印刷服务；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——公文用纸印刷服务；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——资料汇编印刷服务；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——信封印刷服务。</w:t>
            </w:r>
          </w:p>
        </w:tc>
      </w:tr>
      <w:tr w:rsidR="00000000">
        <w:trPr>
          <w:trHeight w:val="85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车辆维修和保养服务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C23120301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包括载货汽车、汽车挂车、乘用车（轿车、越野车、小型客车、中型客车、大型客车）等车辆的维修和保养服务。</w:t>
            </w:r>
          </w:p>
        </w:tc>
      </w:tr>
      <w:tr w:rsidR="00000000">
        <w:trPr>
          <w:trHeight w:val="855"/>
          <w:jc w:val="center"/>
        </w:trPr>
        <w:tc>
          <w:tcPr>
            <w:tcW w:w="718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1995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车辆加油、添加燃料服务</w:t>
            </w:r>
          </w:p>
        </w:tc>
        <w:tc>
          <w:tcPr>
            <w:tcW w:w="1387" w:type="dxa"/>
            <w:vAlign w:val="center"/>
          </w:tcPr>
          <w:p w:rsidR="00000000" w:rsidRDefault="00E046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C23120302</w:t>
            </w:r>
          </w:p>
        </w:tc>
        <w:tc>
          <w:tcPr>
            <w:tcW w:w="5250" w:type="dxa"/>
            <w:vAlign w:val="center"/>
          </w:tcPr>
          <w:p w:rsidR="00000000" w:rsidRDefault="00E0465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仅包括载货汽车、汽车挂车、乘用车（轿车、越野车、小型客车、中型客车、大型客车）等车辆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lastRenderedPageBreak/>
              <w:t>的加油服务。</w:t>
            </w:r>
          </w:p>
        </w:tc>
      </w:tr>
    </w:tbl>
    <w:p w:rsidR="00000000" w:rsidRDefault="00E04653">
      <w:pPr>
        <w:spacing w:line="560" w:lineRule="exact"/>
        <w:rPr>
          <w:rFonts w:ascii="仿宋_GB2312" w:eastAsia="仿宋_GB2312" w:hAnsi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lastRenderedPageBreak/>
        <w:t>注</w:t>
      </w:r>
      <w:r>
        <w:rPr>
          <w:rFonts w:ascii="仿宋_GB2312" w:eastAsia="仿宋_GB2312" w:hAnsi="Times New Roman"/>
          <w:color w:val="000000"/>
          <w:kern w:val="0"/>
          <w:sz w:val="28"/>
          <w:szCs w:val="28"/>
        </w:rPr>
        <w:t>：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表中</w:t>
      </w:r>
      <w:r>
        <w:rPr>
          <w:rFonts w:ascii="仿宋_GB2312" w:eastAsia="仿宋_GB2312" w:hAnsi="Times New Roman"/>
          <w:color w:val="000000"/>
          <w:kern w:val="0"/>
          <w:sz w:val="28"/>
          <w:szCs w:val="28"/>
        </w:rPr>
        <w:t>所列项目不包括高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校</w:t>
      </w:r>
      <w:r>
        <w:rPr>
          <w:rFonts w:ascii="仿宋_GB2312" w:eastAsia="仿宋_GB2312" w:hAnsi="Times New Roman"/>
          <w:color w:val="000000"/>
          <w:kern w:val="0"/>
          <w:sz w:val="28"/>
          <w:szCs w:val="28"/>
        </w:rPr>
        <w:t>、科研机构所采购的科研仪器设备。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第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23-44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项家具品目仅指办公家具（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/>
        </w:rPr>
        <w:t>木质、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/>
        </w:rPr>
        <w:t>金属、钢木类材质）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。</w:t>
      </w:r>
    </w:p>
    <w:p w:rsidR="00000000" w:rsidRDefault="00E04653">
      <w:pPr>
        <w:spacing w:line="540" w:lineRule="exact"/>
        <w:ind w:firstLineChars="200" w:firstLine="640"/>
        <w:rPr>
          <w:rFonts w:ascii="黑体" w:eastAsia="黑体" w:hAnsi="黑体" w:cs="黑体" w:hint="eastAsia"/>
          <w:color w:val="000000"/>
          <w:kern w:val="0"/>
          <w:sz w:val="32"/>
          <w:szCs w:val="2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22"/>
        </w:rPr>
        <w:t>二、目录内采购规则</w:t>
      </w:r>
    </w:p>
    <w:p w:rsidR="00000000" w:rsidRDefault="00E04653">
      <w:pPr>
        <w:spacing w:line="540" w:lineRule="exact"/>
        <w:ind w:firstLineChars="200" w:firstLine="640"/>
        <w:rPr>
          <w:rFonts w:ascii="仿宋_GB2312" w:eastAsia="仿宋_GB2312" w:hAnsi="Times New Roman"/>
          <w:color w:val="000000"/>
          <w:kern w:val="0"/>
          <w:sz w:val="32"/>
          <w:szCs w:val="2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凡纳入集中采购目录的品目按规定委托集中采购机构采购。其中：单项或批量小于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100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万元的小额零星采购，在北京市政府采购电子卖场，可以按照框架协议采购方式实施采购；大于或等于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100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万元的，委托集采机构执行项目采购程序。</w:t>
      </w:r>
    </w:p>
    <w:p w:rsidR="00000000" w:rsidRDefault="00E04653">
      <w:pPr>
        <w:spacing w:line="540" w:lineRule="exact"/>
        <w:ind w:firstLineChars="200" w:firstLine="640"/>
        <w:rPr>
          <w:rFonts w:ascii="仿宋_GB2312" w:eastAsia="仿宋_GB2312" w:hAnsi="Times New Roman"/>
          <w:color w:val="000000"/>
          <w:kern w:val="0"/>
          <w:sz w:val="32"/>
          <w:szCs w:val="2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预算单位可以不受行政级次、地区限制，委托集采机构组织采购活动。未依法独立设置集中采购机构的区，可以引入市场竞争机制，将集中采购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目录内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项目择优委托给集中采购机构以外的采购代理机构代理采购。</w:t>
      </w:r>
    </w:p>
    <w:p w:rsidR="00000000" w:rsidRDefault="00E04653">
      <w:pPr>
        <w:spacing w:line="540" w:lineRule="exact"/>
        <w:ind w:firstLineChars="200" w:firstLine="640"/>
        <w:rPr>
          <w:rFonts w:ascii="仿宋_GB2312" w:eastAsia="仿宋_GB2312" w:hAnsi="Times New Roman"/>
          <w:color w:val="000000"/>
          <w:kern w:val="0"/>
          <w:sz w:val="32"/>
          <w:szCs w:val="2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我市所属京外办公的预算单位可以执行当地集中采购结果，并可委托当地集采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机构组织本目录内产品采购。</w:t>
      </w:r>
    </w:p>
    <w:p w:rsidR="00000000" w:rsidRDefault="00E04653">
      <w:pPr>
        <w:spacing w:line="540" w:lineRule="exact"/>
        <w:ind w:firstLineChars="200" w:firstLine="640"/>
        <w:rPr>
          <w:rFonts w:ascii="黑体" w:eastAsia="黑体" w:hAnsi="黑体" w:cs="黑体" w:hint="eastAsia"/>
          <w:color w:val="000000"/>
          <w:kern w:val="0"/>
          <w:sz w:val="32"/>
          <w:szCs w:val="2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22"/>
        </w:rPr>
        <w:t>三、分散采购限额标准</w:t>
      </w:r>
    </w:p>
    <w:p w:rsidR="00000000" w:rsidRDefault="00E04653">
      <w:pPr>
        <w:spacing w:line="54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各预算单位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采购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集中采购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目录外的货物、服务和工程且单项或批量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金额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达到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（含）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以上的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按照《中华人民共和国政府采购法》和《中华人民共和国招标投标法》有关规定，由采购人自行采购或者委托采购代理机构代理采购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。</w:t>
      </w:r>
    </w:p>
    <w:p w:rsidR="00000000" w:rsidRDefault="00E04653">
      <w:pPr>
        <w:spacing w:line="540" w:lineRule="exact"/>
        <w:ind w:firstLineChars="200" w:firstLine="640"/>
        <w:rPr>
          <w:rFonts w:ascii="黑体" w:eastAsia="黑体" w:hAnsi="黑体" w:cs="黑体" w:hint="eastAsia"/>
          <w:color w:val="000000"/>
          <w:kern w:val="0"/>
          <w:sz w:val="32"/>
          <w:szCs w:val="2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22"/>
        </w:rPr>
        <w:t>四、公开招标限额标准</w:t>
      </w:r>
    </w:p>
    <w:p w:rsidR="00000000" w:rsidRDefault="00E04653">
      <w:pPr>
        <w:spacing w:line="540" w:lineRule="exact"/>
        <w:ind w:firstLineChars="200" w:firstLine="640"/>
        <w:rPr>
          <w:rFonts w:ascii="仿宋_GB2312" w:eastAsia="仿宋_GB2312" w:hAnsi="Times New Roman"/>
          <w:color w:val="000000"/>
          <w:kern w:val="0"/>
          <w:sz w:val="32"/>
          <w:szCs w:val="2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各预算单位单项或批量采购金额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达到以下标准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的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执行《中华人民共和国政府采购法》和《中华人民共和国招标投标法》有关规定，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采用公开招标的方式进行采购。</w:t>
      </w:r>
    </w:p>
    <w:p w:rsidR="00000000" w:rsidRDefault="00E04653">
      <w:pPr>
        <w:spacing w:line="54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1.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货物和服务类：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400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万元（含）以上；</w:t>
      </w:r>
    </w:p>
    <w:p w:rsidR="00000000" w:rsidRDefault="00E04653">
      <w:pPr>
        <w:spacing w:line="540" w:lineRule="exact"/>
        <w:ind w:firstLineChars="200" w:firstLine="640"/>
        <w:rPr>
          <w:rFonts w:ascii="仿宋_GB2312" w:eastAsia="仿宋_GB2312" w:hAnsi="Times New Roman"/>
          <w:color w:val="000000"/>
          <w:kern w:val="0"/>
          <w:sz w:val="32"/>
          <w:szCs w:val="2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工程类：按照国家招标投标有关规定执行。</w:t>
      </w:r>
    </w:p>
    <w:p w:rsidR="00000000" w:rsidRDefault="00E04653">
      <w:pPr>
        <w:spacing w:line="540" w:lineRule="exact"/>
        <w:ind w:firstLineChars="200" w:firstLine="640"/>
        <w:rPr>
          <w:rFonts w:ascii="黑体" w:eastAsia="黑体" w:hAnsi="黑体" w:cs="黑体" w:hint="eastAsia"/>
          <w:color w:val="000000"/>
          <w:kern w:val="0"/>
          <w:sz w:val="32"/>
          <w:szCs w:val="2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22"/>
        </w:rPr>
        <w:t>五、政府采购政策规定</w:t>
      </w:r>
    </w:p>
    <w:p w:rsidR="00000000" w:rsidRDefault="00E04653">
      <w:pPr>
        <w:spacing w:line="540" w:lineRule="exact"/>
        <w:ind w:firstLineChars="200" w:firstLine="640"/>
        <w:rPr>
          <w:rFonts w:ascii="仿宋_GB2312" w:eastAsia="仿宋_GB2312" w:hAnsi="Times New Roman"/>
          <w:color w:val="000000"/>
          <w:kern w:val="0"/>
          <w:sz w:val="32"/>
          <w:szCs w:val="2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政府采购应严格执行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《中华人民共和国政府采购法》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及有关法规、规章制度等规定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，在政府采购活动中支持中小企业、监狱企业、残疾人福利性单位发展，支持乡村产业振兴，支持节能环保等。</w:t>
      </w:r>
    </w:p>
    <w:p w:rsidR="00000000" w:rsidRDefault="00E04653">
      <w:pPr>
        <w:spacing w:line="540" w:lineRule="exact"/>
        <w:ind w:firstLineChars="200" w:firstLine="640"/>
        <w:rPr>
          <w:rFonts w:ascii="仿宋_GB2312" w:eastAsia="仿宋_GB2312" w:hAnsi="Times New Roman"/>
          <w:color w:val="000000"/>
          <w:kern w:val="0"/>
          <w:sz w:val="32"/>
          <w:szCs w:val="2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政府采购支持</w:t>
      </w:r>
      <w:r>
        <w:rPr>
          <w:rFonts w:ascii="仿宋_GB2312" w:eastAsia="仿宋_GB2312" w:hAnsi="Times New Roman"/>
          <w:color w:val="000000"/>
          <w:kern w:val="0"/>
          <w:sz w:val="32"/>
          <w:szCs w:val="22"/>
        </w:rPr>
        <w:t>科技创新。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发挥政府采购导向作用，首次投放市场的科技创新产品、服务，政府采购率先购买，不得以商业业绩为由予以限制。</w:t>
      </w:r>
    </w:p>
    <w:p w:rsidR="00000000" w:rsidRDefault="00E04653">
      <w:pPr>
        <w:spacing w:line="540" w:lineRule="exact"/>
        <w:ind w:firstLineChars="200" w:firstLine="640"/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政府采购支持绿色低碳可持续</w:t>
      </w:r>
      <w:r>
        <w:rPr>
          <w:rFonts w:ascii="仿宋_GB2312" w:eastAsia="仿宋_GB2312" w:hAnsi="Times New Roman"/>
          <w:color w:val="000000"/>
          <w:kern w:val="0"/>
          <w:sz w:val="32"/>
          <w:szCs w:val="22"/>
        </w:rPr>
        <w:t>发展。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在车辆集中采购中，优先采购新能源汽车。率先在朝阳区、通州区试点执行《绿色建筑和绿色建材政府采购需求标准》，</w:t>
      </w:r>
      <w:r>
        <w:rPr>
          <w:rFonts w:ascii="仿宋_GB2312" w:eastAsia="仿宋_GB2312" w:hAnsi="Times New Roman"/>
          <w:color w:val="000000"/>
          <w:kern w:val="0"/>
          <w:sz w:val="32"/>
          <w:szCs w:val="22"/>
        </w:rPr>
        <w:t>并逐步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扩大</w:t>
      </w:r>
      <w:r>
        <w:rPr>
          <w:rFonts w:ascii="仿宋_GB2312" w:eastAsia="仿宋_GB2312" w:hAnsi="Times New Roman"/>
          <w:color w:val="000000"/>
          <w:kern w:val="0"/>
          <w:sz w:val="32"/>
          <w:szCs w:val="22"/>
        </w:rPr>
        <w:t>试点范围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22"/>
        </w:rPr>
        <w:t>。</w:t>
      </w:r>
    </w:p>
    <w:p w:rsidR="00000000" w:rsidRDefault="00E04653">
      <w:pPr>
        <w:tabs>
          <w:tab w:val="left" w:pos="5145"/>
        </w:tabs>
        <w:spacing w:line="540" w:lineRule="exact"/>
        <w:ind w:firstLineChars="200" w:firstLine="640"/>
        <w:rPr>
          <w:rFonts w:ascii="黑体" w:eastAsia="黑体" w:hAnsi="黑体" w:cs="黑体" w:hint="eastAsia"/>
          <w:color w:val="000000"/>
          <w:kern w:val="0"/>
          <w:sz w:val="32"/>
          <w:szCs w:val="2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22"/>
        </w:rPr>
        <w:t>六、全市共享</w:t>
      </w:r>
      <w:r>
        <w:rPr>
          <w:rFonts w:ascii="黑体" w:eastAsia="黑体" w:hAnsi="黑体" w:cs="黑体" w:hint="eastAsia"/>
          <w:color w:val="000000"/>
          <w:kern w:val="0"/>
          <w:sz w:val="32"/>
          <w:szCs w:val="22"/>
        </w:rPr>
        <w:tab/>
      </w:r>
    </w:p>
    <w:p w:rsidR="00000000" w:rsidRDefault="00E04653">
      <w:pPr>
        <w:spacing w:line="540" w:lineRule="exact"/>
        <w:ind w:firstLineChars="200" w:firstLine="624"/>
        <w:rPr>
          <w:rFonts w:ascii="仿宋_GB2312" w:eastAsia="仿宋_GB2312" w:hAnsi="Times New Roman"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pacing w:val="-4"/>
          <w:kern w:val="0"/>
          <w:sz w:val="32"/>
          <w:szCs w:val="32"/>
        </w:rPr>
        <w:t>北京市各区共享</w:t>
      </w:r>
      <w:r>
        <w:rPr>
          <w:rFonts w:ascii="仿宋_GB2312" w:eastAsia="仿宋_GB2312" w:hAnsi="Times New Roman" w:hint="eastAsia"/>
          <w:color w:val="000000"/>
          <w:spacing w:val="-4"/>
          <w:kern w:val="0"/>
          <w:sz w:val="32"/>
          <w:szCs w:val="32"/>
        </w:rPr>
        <w:t>本目录及标准，并共享市级集中采购机构框架协议采购结果。</w:t>
      </w:r>
    </w:p>
    <w:p w:rsidR="00000000" w:rsidRDefault="00E04653">
      <w:pPr>
        <w:spacing w:line="540" w:lineRule="exact"/>
        <w:ind w:firstLineChars="200" w:firstLine="640"/>
        <w:rPr>
          <w:rFonts w:ascii="黑体" w:eastAsia="黑体" w:hAnsi="黑体" w:cs="黑体" w:hint="eastAsia"/>
          <w:color w:val="000000"/>
          <w:kern w:val="0"/>
          <w:sz w:val="32"/>
          <w:szCs w:val="2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22"/>
        </w:rPr>
        <w:t>七、部门集中采购</w:t>
      </w:r>
    </w:p>
    <w:p w:rsidR="00000000" w:rsidRDefault="00E04653">
      <w:pPr>
        <w:spacing w:line="540" w:lineRule="exact"/>
        <w:ind w:firstLineChars="200" w:firstLine="624"/>
        <w:rPr>
          <w:rFonts w:ascii="黑体" w:eastAsia="黑体" w:hAnsi="黑体"/>
          <w:color w:val="000000"/>
          <w:kern w:val="0"/>
          <w:sz w:val="32"/>
          <w:szCs w:val="22"/>
        </w:rPr>
      </w:pPr>
      <w:r>
        <w:rPr>
          <w:rFonts w:ascii="仿宋_GB2312" w:eastAsia="仿宋_GB2312" w:hAnsi="Times New Roman" w:hint="eastAsia"/>
          <w:color w:val="000000"/>
          <w:spacing w:val="-4"/>
          <w:kern w:val="0"/>
          <w:sz w:val="32"/>
          <w:szCs w:val="32"/>
        </w:rPr>
        <w:t>部门集中采购项目是指本部门或系统有特殊要求，需要由本部门或系统统一采购的货物、工程和服务类专用项目。各主管预算单位结合自身业务特点，自行确定本部门集中采购目录范围，报财政部门备案通过后实施。</w:t>
      </w:r>
    </w:p>
    <w:p w:rsidR="00000000" w:rsidRDefault="00E04653">
      <w:pPr>
        <w:spacing w:line="540" w:lineRule="exact"/>
        <w:ind w:firstLineChars="200" w:firstLine="640"/>
        <w:rPr>
          <w:rFonts w:ascii="黑体" w:eastAsia="黑体" w:hAnsi="黑体" w:cs="黑体" w:hint="eastAsia"/>
          <w:color w:val="000000"/>
          <w:kern w:val="0"/>
          <w:sz w:val="32"/>
          <w:szCs w:val="2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22"/>
        </w:rPr>
        <w:t>八、涉密项目采购</w:t>
      </w:r>
    </w:p>
    <w:p w:rsidR="00E04653" w:rsidRDefault="00E04653">
      <w:r>
        <w:rPr>
          <w:rFonts w:ascii="仿宋_GB2312" w:eastAsia="仿宋_GB2312" w:hAnsi="Times New Roman" w:hint="eastAsia"/>
          <w:color w:val="000000"/>
          <w:spacing w:val="-4"/>
          <w:kern w:val="0"/>
          <w:sz w:val="32"/>
          <w:szCs w:val="32"/>
        </w:rPr>
        <w:t>各单位涉密采购项目，按照涉密政府采购相关规定执行。</w:t>
      </w:r>
    </w:p>
    <w:sectPr w:rsidR="00E046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653" w:rsidRDefault="00E04653" w:rsidP="00912DD0">
      <w:r>
        <w:separator/>
      </w:r>
    </w:p>
  </w:endnote>
  <w:endnote w:type="continuationSeparator" w:id="0">
    <w:p w:rsidR="00E04653" w:rsidRDefault="00E04653" w:rsidP="00912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黑体"/>
    <w:charset w:val="86"/>
    <w:family w:val="script"/>
    <w:pitch w:val="default"/>
    <w:sig w:usb0="00000000" w:usb1="00000000" w:usb2="00000012" w:usb3="00000000" w:csb0="00040001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D0" w:rsidRDefault="00912D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D0" w:rsidRDefault="00912DD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D0" w:rsidRDefault="00912D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653" w:rsidRDefault="00E04653" w:rsidP="00912DD0">
      <w:r>
        <w:separator/>
      </w:r>
    </w:p>
  </w:footnote>
  <w:footnote w:type="continuationSeparator" w:id="0">
    <w:p w:rsidR="00E04653" w:rsidRDefault="00E04653" w:rsidP="00912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D0" w:rsidRDefault="00912D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D0" w:rsidRDefault="00912DD0" w:rsidP="00912DD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D0" w:rsidRDefault="00912DD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2MzYzQyOTQzNmRhMmJkYTQwM2I4ZGM4ZTljZDU3ODYifQ=="/>
  </w:docVars>
  <w:rsids>
    <w:rsidRoot w:val="00912DD0"/>
    <w:rsid w:val="00912DD0"/>
    <w:rsid w:val="00E04653"/>
    <w:rsid w:val="327F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uppressAutoHyphens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pPr>
      <w:spacing w:after="120"/>
      <w:ind w:leftChars="700" w:left="1440" w:rightChars="700" w:right="1440"/>
    </w:pPr>
  </w:style>
  <w:style w:type="paragraph" w:styleId="a4">
    <w:name w:val="header"/>
    <w:basedOn w:val="a"/>
    <w:link w:val="Char"/>
    <w:rsid w:val="00912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912DD0"/>
    <w:rPr>
      <w:kern w:val="2"/>
      <w:sz w:val="18"/>
      <w:szCs w:val="18"/>
    </w:rPr>
  </w:style>
  <w:style w:type="paragraph" w:styleId="a5">
    <w:name w:val="footer"/>
    <w:basedOn w:val="a"/>
    <w:link w:val="Char0"/>
    <w:rsid w:val="00912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912D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483</Words>
  <Characters>2757</Characters>
  <Application>Microsoft Office Word</Application>
  <DocSecurity>0</DocSecurity>
  <Lines>22</Lines>
  <Paragraphs>6</Paragraphs>
  <ScaleCrop>false</ScaleCrop>
  <Company>WwW.YlmF.CoM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wyx</cp:lastModifiedBy>
  <cp:revision>2</cp:revision>
  <dcterms:created xsi:type="dcterms:W3CDTF">2023-02-27T00:50:00Z</dcterms:created>
  <dcterms:modified xsi:type="dcterms:W3CDTF">2023-02-27T00:50:00Z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39A034772A664CC495FAA61C0DA35975</vt:lpwstr>
  </property>
</Properties>
</file>